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wmf" ContentType="image/x-wmf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7870" cy="806450"/>
            <wp:effectExtent l="0" t="0" r="0" b="0"/>
            <wp:wrapTopAndBottom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Arial" w:ascii="Times New Roman" w:hAnsi="Times New Roman"/>
          <w:b/>
          <w:i/>
          <w:color w:val="000000"/>
          <w:sz w:val="20"/>
          <w:szCs w:val="20"/>
          <w:lang w:eastAsia="en-US"/>
        </w:rPr>
        <w:t>MINISTÉRIO DA DEFESA</w:t>
        <w:br/>
        <w:t>EXÉRCITO BRASILEIRO</w:t>
        <w:br/>
        <w:t>CENTRO DE PREPARAÇÃO DE OFICIAIS DA RESERVA DE SÃO PAULO</w:t>
        <w:br/>
        <w:t>(CPOR/2ª RM/1930)</w:t>
        <w:br/>
        <w:t>CENTRO SOLAR DOS ANDRADAS</w:t>
      </w:r>
    </w:p>
    <w:p>
      <w:pPr>
        <w:pStyle w:val="Normal"/>
        <w:spacing w:lineRule="auto" w:line="312" w:before="120" w:after="0"/>
        <w:jc w:val="center"/>
        <w:rPr>
          <w:rFonts w:ascii="Arial" w:hAnsi="Arial" w:eastAsia="Calibri" w:cs="Arial"/>
          <w:bCs/>
          <w:color w:val="000000"/>
          <w:sz w:val="20"/>
          <w:szCs w:val="20"/>
          <w:lang w:eastAsia="en-US"/>
        </w:rPr>
      </w:pPr>
      <w:r>
        <w:rPr>
          <w:rFonts w:eastAsia="Calibri" w:cs="Times New Roman" w:ascii="Arial" w:hAnsi="Arial"/>
          <w:color w:val="000000"/>
          <w:sz w:val="20"/>
          <w:szCs w:val="22"/>
          <w:lang w:eastAsia="en-US"/>
        </w:rPr>
        <w:t xml:space="preserve">Processo 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>Administrativo n</w:t>
      </w:r>
      <w:r>
        <w:rPr>
          <w:rFonts w:eastAsia="Calibri" w:cs="Arial" w:ascii="Arial" w:hAnsi="Arial"/>
          <w:bCs/>
          <w:color w:val="000000"/>
          <w:sz w:val="20"/>
          <w:szCs w:val="20"/>
          <w:lang w:eastAsia="en-US"/>
        </w:rPr>
        <w:t xml:space="preserve">° </w:t>
      </w:r>
      <w:r>
        <w:rPr>
          <w:rFonts w:eastAsia="Calibri" w:cs="Arial" w:ascii="Arial" w:hAnsi="Arial"/>
          <w:bCs/>
          <w:i/>
          <w:iCs/>
          <w:color w:val="000000"/>
          <w:sz w:val="20"/>
          <w:szCs w:val="20"/>
          <w:lang w:eastAsia="en-US"/>
        </w:rPr>
        <w:t>65469.000552/2026-11</w:t>
      </w:r>
    </w:p>
    <w:p>
      <w:pPr>
        <w:pStyle w:val="Normal"/>
        <w:spacing w:lineRule="auto" w:line="312" w:before="0" w:after="288"/>
        <w:jc w:val="center"/>
        <w:rPr>
          <w:rFonts w:ascii="Arial" w:hAnsi="Arial" w:eastAsia="Calibri" w:cs="Times New Roman"/>
          <w:color w:val="000000"/>
          <w:sz w:val="20"/>
          <w:szCs w:val="22"/>
          <w:lang w:eastAsia="en-US"/>
        </w:rPr>
      </w:pP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 xml:space="preserve">Ata de Registro de Preços </w:t>
      </w:r>
      <w:r>
        <w:rPr>
          <w:rFonts w:eastAsia="Calibri" w:cs="Times New Roman" w:ascii="Arial" w:hAnsi="Arial"/>
          <w:color w:val="000000"/>
          <w:sz w:val="20"/>
          <w:szCs w:val="22"/>
          <w:lang w:eastAsia="en-US"/>
        </w:rPr>
        <w:t>nº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 xml:space="preserve"> </w:t>
      </w:r>
      <w:r>
        <w:rPr>
          <w:rFonts w:eastAsia="Calibri" w:cs="Arial" w:ascii="Arial" w:hAnsi="Arial"/>
          <w:i/>
          <w:iCs/>
          <w:color w:val="FF0000"/>
          <w:sz w:val="20"/>
          <w:szCs w:val="20"/>
          <w:lang w:eastAsia="en-US"/>
        </w:rPr>
        <w:t>XX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>/</w:t>
      </w:r>
      <w:r>
        <w:rPr>
          <w:rFonts w:eastAsia="Calibri" w:cs="Arial" w:ascii="Arial" w:hAnsi="Arial"/>
          <w:i/>
          <w:iCs/>
          <w:color w:val="FF0000"/>
          <w:sz w:val="20"/>
          <w:szCs w:val="20"/>
          <w:lang w:eastAsia="en-US"/>
        </w:rPr>
        <w:t>2026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right="-28"/>
        <w:jc w:val="both"/>
        <w:rPr>
          <w:rFonts w:ascii="Arial" w:hAnsi="Arial" w:eastAsia="Arial" w:cs="Arial"/>
          <w:i/>
          <w:i/>
          <w:iCs/>
          <w:color w:val="111111"/>
          <w:sz w:val="20"/>
          <w:szCs w:val="20"/>
        </w:rPr>
      </w:pPr>
      <w:r>
        <w:rPr>
          <w:rFonts w:eastAsia="Arial" w:cs="Arial" w:ascii="Arial" w:hAnsi="Arial"/>
          <w:i/>
          <w:iCs/>
          <w:color w:val="111111"/>
          <w:sz w:val="20"/>
          <w:szCs w:val="20"/>
        </w:rPr>
        <w:t xml:space="preserve">A </w:t>
      </w:r>
      <w:r>
        <w:rPr>
          <w:rFonts w:eastAsia="Arial" w:cs="Arial" w:ascii="Arial" w:hAnsi="Arial"/>
          <w:b/>
          <w:bCs/>
          <w:i/>
          <w:iCs/>
          <w:color w:val="111111"/>
          <w:sz w:val="20"/>
          <w:szCs w:val="20"/>
        </w:rPr>
        <w:t>UNIÃO</w:t>
      </w:r>
      <w:r>
        <w:rPr>
          <w:rFonts w:eastAsia="Arial" w:cs="Arial" w:ascii="Arial" w:hAnsi="Arial"/>
          <w:i/>
          <w:iCs/>
          <w:color w:val="111111"/>
          <w:sz w:val="20"/>
          <w:szCs w:val="20"/>
        </w:rPr>
        <w:t xml:space="preserve">, por intermédio do </w:t>
      </w:r>
      <w:r>
        <w:rPr>
          <w:rFonts w:eastAsia="Arial" w:cs="Arial" w:ascii="Arial" w:hAnsi="Arial"/>
          <w:b/>
          <w:bCs/>
          <w:i/>
          <w:iCs/>
          <w:color w:val="111111"/>
          <w:sz w:val="20"/>
          <w:szCs w:val="20"/>
        </w:rPr>
        <w:t>CENTRO DE PREPARAÇÃO DE OFICIAIS DA RESERVA DE SÃO PAULO</w:t>
      </w:r>
      <w:r>
        <w:rPr>
          <w:rFonts w:eastAsia="Arial" w:cs="Arial" w:ascii="Arial" w:hAnsi="Arial"/>
          <w:i/>
          <w:iCs/>
          <w:color w:val="111111"/>
          <w:sz w:val="20"/>
          <w:szCs w:val="20"/>
        </w:rPr>
        <w:t xml:space="preserve"> - CPOR/SP, com sede na Rua Alfredo Pujol, 681, bairro Santana, São Paulo, SP, CEP 02017-011, inscrito no CNPJ/MF sob o nº 10.437.535/0001-88, neste ato representado pelo Coronel </w:t>
      </w:r>
      <w:r>
        <w:rPr>
          <w:rFonts w:eastAsia="Arial" w:cs="Arial" w:ascii="Arial" w:hAnsi="Arial"/>
          <w:b/>
          <w:bCs/>
          <w:i/>
          <w:iCs/>
          <w:color w:val="111111"/>
          <w:sz w:val="20"/>
          <w:szCs w:val="20"/>
        </w:rPr>
        <w:t>FREDERICO VIEIRA CABRAL MENDES</w:t>
      </w:r>
      <w:r>
        <w:rPr>
          <w:rFonts w:eastAsia="Arial" w:cs="Arial" w:ascii="Arial" w:hAnsi="Arial"/>
          <w:i/>
          <w:iCs/>
          <w:color w:val="111111"/>
          <w:sz w:val="20"/>
          <w:szCs w:val="20"/>
        </w:rPr>
        <w:t xml:space="preserve">, nomeado pela Portaria nº 1.445, DE 3 DE OUTUBRO DE 2024, publicada no DOU nº 193 de 04 de outubro de 2024, portador da Matrícula Funcional nº 0130297849, MD-EB, considerando o julgamento da licitação na modalidade de pregão, na forma eletrônica, para </w:t>
      </w:r>
      <w:r>
        <w:rPr>
          <w:rFonts w:eastAsia="Arial" w:cs="Arial" w:ascii="Arial" w:hAnsi="Arial"/>
          <w:i/>
          <w:iCs/>
          <w:color w:val="111111"/>
          <w:sz w:val="20"/>
          <w:szCs w:val="20"/>
        </w:rPr>
        <w:t xml:space="preserve">PREGÃO ELETRÔNICO </w:t>
      </w:r>
      <w:r>
        <w:rPr>
          <w:rFonts w:eastAsia="Arial" w:cs="Arial" w:ascii="Arial" w:hAnsi="Arial"/>
          <w:i/>
          <w:iCs/>
          <w:color w:val="111111"/>
          <w:sz w:val="20"/>
          <w:szCs w:val="20"/>
        </w:rPr>
        <w:t xml:space="preserve">REGISTRO DE PREÇOS nº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00001/202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6</w:t>
      </w:r>
      <w:r>
        <w:rPr>
          <w:rFonts w:eastAsia="Arial" w:cs="Arial" w:ascii="Arial" w:hAnsi="Arial"/>
          <w:i/>
          <w:iCs/>
          <w:color w:val="111111"/>
          <w:sz w:val="20"/>
          <w:szCs w:val="20"/>
        </w:rPr>
        <w:t xml:space="preserve">, publicada no ...... de ...../...../202....., processo administrativo n.º </w:t>
      </w:r>
      <w:r>
        <w:rPr>
          <w:rFonts w:eastAsia="Arial" w:cs="Arial" w:ascii="Arial" w:hAnsi="Arial"/>
          <w:b/>
          <w:bCs/>
          <w:i/>
          <w:iCs/>
          <w:color w:val="111111"/>
          <w:sz w:val="20"/>
          <w:szCs w:val="20"/>
        </w:rPr>
        <w:t>65469.000552/2026-11</w:t>
      </w:r>
      <w:r>
        <w:rPr>
          <w:rFonts w:eastAsia="Arial" w:cs="Arial" w:ascii="Arial" w:hAnsi="Arial"/>
          <w:i/>
          <w:iCs/>
          <w:color w:val="111111"/>
          <w:sz w:val="20"/>
          <w:szCs w:val="20"/>
        </w:rPr>
        <w:t>, RESOLVE registrar os preços da(s) empresa(s) indicada(s) e qualificada(s) nesta ATA, de acordo com a classificação por ela(s) alcançada(s) e na(s) quantidade(s)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presente Ata tem por objeto o registro de preços para a eventual contratação de</w:t>
      </w:r>
      <w:r>
        <w:rPr>
          <w:b w:val="false"/>
          <w:bCs w:val="false"/>
        </w:rPr>
        <w:t xml:space="preserve"> </w:t>
      </w:r>
      <w:r>
        <w:rPr>
          <w:rFonts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u w:val="single"/>
        </w:rPr>
        <w:t xml:space="preserve">aquisição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4"/>
          <w:szCs w:val="24"/>
          <w:u w:val="single"/>
          <w:lang w:val="pt-BR" w:eastAsia="zh-CN" w:bidi="ar-SA"/>
        </w:rPr>
        <w:t xml:space="preserve">de </w:t>
      </w:r>
      <w:r>
        <w:rPr>
          <w:rStyle w:val="Fontepargpadro2"/>
          <w:rFonts w:eastAsia="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4"/>
          <w:szCs w:val="24"/>
          <w:u w:val="single"/>
          <w:lang w:val="pt-BR" w:eastAsia="zh-CN" w:bidi="ar-SA"/>
        </w:rPr>
        <w:t>instrumentos musicais e acessórios para o Corpo de Alunos do Colégio Militar de São Paulo</w:t>
      </w:r>
      <w:r>
        <w:rPr>
          <w:b w:val="false"/>
          <w:bCs w:val="false"/>
        </w:rPr>
        <w:t>,</w:t>
      </w:r>
      <w:r>
        <w:rPr/>
        <w:t xml:space="preserve"> especificado(s) no(s) itens </w:t>
      </w:r>
      <w:r>
        <w:rPr>
          <w:i/>
          <w:iCs/>
          <w:color w:val="FF0000"/>
        </w:rPr>
        <w:t xml:space="preserve">XX </w:t>
      </w:r>
      <w:r>
        <w:rPr/>
        <w:t xml:space="preserve">do Termo de Referência, anexo </w:t>
      </w:r>
      <w:r>
        <w:rPr>
          <w:i/>
          <w:iCs/>
          <w:color w:val="FF0000"/>
        </w:rPr>
        <w:t xml:space="preserve">XX </w:t>
      </w:r>
      <w:r>
        <w:rPr>
          <w:iCs/>
        </w:rPr>
        <w:t>do</w:t>
      </w:r>
      <w:r>
        <w:rPr>
          <w:i/>
        </w:rPr>
        <w:t xml:space="preserve"> </w:t>
      </w:r>
      <w:r>
        <w:rPr>
          <w:i/>
          <w:color w:val="FF0000"/>
        </w:rPr>
        <w:t xml:space="preserve">[edital de licitação] OU [aviso da contratação direta] </w:t>
      </w:r>
      <w:r>
        <w:rPr/>
        <w:t xml:space="preserve">n.º </w:t>
      </w:r>
      <w:r>
        <w:rPr>
          <w:bCs/>
          <w:i/>
          <w:iCs/>
          <w:color w:val="FF0000"/>
        </w:rPr>
        <w:t>xxxx</w:t>
      </w:r>
      <w:r>
        <w:rPr>
          <w:bCs/>
        </w:rPr>
        <w:t>/</w:t>
      </w:r>
      <w:r>
        <w:rPr>
          <w:bCs/>
          <w:i/>
          <w:iCs/>
          <w:color w:val="FF0000"/>
        </w:rPr>
        <w:t>xxxx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commentRangeStart w:id="0"/>
      <w:r>
        <w:rPr/>
        <w:t>O preço registrado</w:t>
      </w:r>
      <w:r>
        <w:rPr/>
      </w:r>
      <w:commentRangeEnd w:id="0"/>
      <w:r>
        <w:commentReference w:id="0"/>
      </w:r>
      <w:r>
        <w:rPr/>
        <w:t xml:space="preserve">, as especificações do objeto, </w:t>
      </w:r>
      <w:commentRangeStart w:id="1"/>
      <w:r>
        <w:rPr/>
        <w:t>as quantidades mínimas e máximas de cada item</w:t>
      </w:r>
      <w:r>
        <w:rPr/>
      </w:r>
      <w:commentRangeEnd w:id="1"/>
      <w:r>
        <w:commentReference w:id="1"/>
      </w:r>
      <w:r>
        <w:rPr/>
        <w:t xml:space="preserve">, fornecedor(es) e as demais condições ofertadas na(s) proposta(s) são as que seguem: </w:t>
      </w:r>
    </w:p>
    <w:tbl>
      <w:tblPr>
        <w:tblW w:w="9392" w:type="dxa"/>
        <w:jc w:val="left"/>
        <w:tblInd w:w="22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4"/>
        <w:gridCol w:w="1255"/>
        <w:gridCol w:w="1539"/>
        <w:gridCol w:w="1124"/>
        <w:gridCol w:w="1118"/>
        <w:gridCol w:w="844"/>
        <w:gridCol w:w="838"/>
        <w:gridCol w:w="845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Marca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ivel2"/>
        <w:numPr>
          <w:ilvl w:val="1"/>
          <w:numId w:val="1"/>
        </w:numPr>
        <w:ind w:hanging="0" w:left="0"/>
        <w:rPr>
          <w:lang w:eastAsia="en-US"/>
        </w:rPr>
      </w:pPr>
      <w:commentRangeStart w:id="2"/>
      <w:r>
        <w:rPr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lang w:eastAsia="en-US"/>
        </w:rPr>
      </w:r>
    </w:p>
    <w:p>
      <w:pPr>
        <w:pStyle w:val="Nivel2"/>
        <w:numPr>
          <w:ilvl w:val="0"/>
          <w:numId w:val="0"/>
        </w:numPr>
        <w:ind w:hanging="0" w:left="0"/>
        <w:rPr>
          <w:lang w:eastAsia="en-US"/>
        </w:rPr>
      </w:pPr>
      <w:r>
        <w:rPr>
          <w:lang w:eastAsia="en-US"/>
        </w:rPr>
      </w:r>
    </w:p>
    <w:p>
      <w:pPr>
        <w:pStyle w:val="Nivel01"/>
        <w:numPr>
          <w:ilvl w:val="0"/>
          <w:numId w:val="1"/>
        </w:numPr>
        <w:ind w:hanging="0" w:left="0"/>
        <w:rPr/>
      </w:pPr>
      <w:commentRangeStart w:id="3"/>
      <w:commentRangeStart w:id="4"/>
      <w:r>
        <w:rPr/>
        <w:t>ÓRGÃO(S) GERENCIADOR E PARTICIPANTE(S)</w:t>
      </w:r>
      <w:r>
        <w:rPr/>
      </w:r>
      <w:commentRangeEnd w:id="4"/>
      <w:r>
        <w:commentReference w:id="4"/>
      </w:r>
      <w:commentRangeEnd w:id="3"/>
      <w:r>
        <w:commentReference w:id="3"/>
      </w:r>
      <w:r>
        <w:rPr/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  <w:t xml:space="preserve">O órgão gerenciador será o Centro de Preparação de Oficiais da Reserva </w:t>
      </w:r>
      <w:r>
        <w:rPr>
          <w:rFonts w:cs="Arial" w:ascii="Arial" w:hAnsi="Arial"/>
          <w:color w:val="111111"/>
          <w:sz w:val="20"/>
          <w:szCs w:val="20"/>
          <w:lang w:eastAsia="en-US"/>
        </w:rPr>
        <w:t>de São Paulo.</w:t>
      </w:r>
    </w:p>
    <w:p>
      <w:pPr>
        <w:pStyle w:val="Nivel01"/>
        <w:numPr>
          <w:ilvl w:val="0"/>
          <w:numId w:val="1"/>
        </w:numPr>
        <w:ind w:hanging="0" w:left="0"/>
        <w:rPr>
          <w:i/>
          <w:i/>
          <w:color w:val="FF0000"/>
        </w:rPr>
      </w:pPr>
      <w:r>
        <w:rPr/>
        <w:t>DA ADESÃO À ATA DE REGISTRO DE PREÇOS</w:t>
      </w:r>
    </w:p>
    <w:p>
      <w:pPr>
        <w:pStyle w:val="Nvel2-Red"/>
        <w:widowControl/>
        <w:numPr>
          <w:ilvl w:val="1"/>
          <w:numId w:val="1"/>
        </w:numPr>
        <w:bidi w:val="0"/>
        <w:spacing w:lineRule="auto" w:line="276" w:before="120" w:after="120"/>
        <w:ind w:firstLine="567" w:left="0" w:right="0"/>
        <w:jc w:val="both"/>
        <w:rPr/>
      </w:pPr>
      <w:r>
        <w:rPr>
          <w:color w:val="111111"/>
          <w:lang w:eastAsia="en-US"/>
        </w:rPr>
        <w:t xml:space="preserve"> </w:t>
      </w:r>
      <w:r>
        <w:rPr>
          <w:color w:val="111111"/>
          <w:lang w:eastAsia="en-US"/>
        </w:rPr>
        <w:t xml:space="preserve">De forma a </w:t>
      </w:r>
      <w:r>
        <w:rPr>
          <w:rStyle w:val="Strong"/>
          <w:color w:val="111111"/>
          <w:lang w:eastAsia="en-US"/>
        </w:rPr>
        <w:t>mitigar riscos à gestão da contratação</w:t>
      </w:r>
      <w:r>
        <w:rPr>
          <w:color w:val="111111"/>
          <w:lang w:eastAsia="en-US"/>
        </w:rPr>
        <w:t xml:space="preserve">, especialmente no tocante ao controle de quantidades, prazos de entrega e adequada execução contratual, </w:t>
      </w:r>
      <w:r>
        <w:rPr>
          <w:rStyle w:val="Strong"/>
          <w:color w:val="111111"/>
          <w:lang w:eastAsia="en-US"/>
        </w:rPr>
        <w:t>não será admitida a adesão à Ata de Registro de Preços decorrente desta licitação.</w:t>
      </w:r>
    </w:p>
    <w:p>
      <w:pPr>
        <w:pStyle w:val="Ou"/>
        <w:rPr/>
      </w:pPr>
      <w:r>
        <w:rPr/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iCs/>
        </w:rPr>
      </w:pPr>
      <w:r>
        <w:rPr/>
        <w:t xml:space="preserve">A validade da Ata de Registro de Preços será de 1 (um) ano, contado a </w:t>
      </w:r>
      <w:commentRangeStart w:id="5"/>
      <w:r>
        <w:rPr/>
        <w:t>partir</w:t>
      </w:r>
      <w:r>
        <w:rPr/>
      </w:r>
      <w:commentRangeEnd w:id="5"/>
      <w:r>
        <w:commentReference w:id="5"/>
      </w:r>
      <w:r>
        <w:rPr/>
        <w:t xml:space="preserve"> do primeiro dia útil subsequente à data de divulgação no PNCP</w:t>
      </w:r>
      <w:r>
        <w:rPr>
          <w:color w:val="111111"/>
        </w:rPr>
        <w:t>, podendo ser prorrogada por igual período, mediante a anuência do fornecedor, desde que comprovado o preço vantajoso.</w:t>
      </w:r>
    </w:p>
    <w:p>
      <w:pPr>
        <w:pStyle w:val="Nvel3-R"/>
        <w:numPr>
          <w:ilvl w:val="2"/>
          <w:numId w:val="1"/>
        </w:numPr>
        <w:ind w:hanging="0" w:left="284"/>
        <w:rPr>
          <w:highlight w:val="none"/>
          <w:shd w:fill="auto" w:val="clear"/>
        </w:rPr>
      </w:pPr>
      <w:commentRangeStart w:id="6"/>
      <w:r>
        <w:rPr>
          <w:i w:val="false"/>
          <w:iCs w:val="false"/>
          <w:color w:val="000000"/>
          <w:shd w:fill="auto" w:val="clear"/>
        </w:rPr>
        <w:t xml:space="preserve">Em caso de prorrogação da ata, </w:t>
      </w:r>
      <w:r>
        <w:rPr>
          <w:color w:val="111111"/>
          <w:shd w:fill="auto" w:val="clear"/>
        </w:rPr>
        <w:t xml:space="preserve">poderá </w:t>
      </w:r>
      <w:r>
        <w:rPr>
          <w:i w:val="false"/>
          <w:iCs w:val="false"/>
          <w:color w:val="000000"/>
          <w:shd w:fill="auto" w:val="clear"/>
        </w:rPr>
        <w:t>ser renovado o quantitativo originalmente registrado.</w:t>
      </w:r>
      <w:commentRangeEnd w:id="6"/>
      <w:r>
        <w:commentReference w:id="6"/>
      </w:r>
      <w:r>
        <w:rPr>
          <w:i w:val="false"/>
          <w:iCs w:val="false"/>
          <w:color w:val="000000"/>
          <w:shd w:fill="auto" w:val="clear"/>
        </w:rPr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>vos do adjudicatário, devendo ser observada a possibilidade de o licitante oferecer ou não proposta em quantitativo inferior ao máximo prev</w:t>
      </w:r>
      <w:r>
        <w:rPr>
          <w:rFonts w:eastAsia="Times New Roman" w:cs="Arial"/>
          <w:i w:val="false"/>
          <w:iCs w:val="false"/>
          <w:color w:val="auto"/>
          <w:sz w:val="20"/>
          <w:szCs w:val="20"/>
        </w:rPr>
        <w:t xml:space="preserve">isto no edital e </w:t>
      </w:r>
      <w:r>
        <w:rPr/>
        <w:t>se obrigar nos limites dela;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\h </w:instrText>
      </w:r>
      <w:r>
        <w:rPr/>
        <w:fldChar w:fldCharType="separate"/>
      </w:r>
      <w:r>
        <w:rPr/>
        <w:t>6.4.2.2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Quando o licitante vencedor não assinar a ata de registro de preços, no prazo e nas condições estabeleci</w:t>
      </w:r>
      <w:r>
        <w:rPr>
          <w:color w:val="111111"/>
        </w:rPr>
        <w:t xml:space="preserve">dos </w:t>
      </w:r>
      <w:r>
        <w:rPr>
          <w:rFonts w:eastAsia="Times New Roman" w:cs="Arial"/>
          <w:i w:val="false"/>
          <w:iCs w:val="false"/>
          <w:color w:val="auto"/>
          <w:sz w:val="20"/>
          <w:szCs w:val="20"/>
        </w:rPr>
        <w:t>no edital; e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>
          <w:rFonts w:eastAsia="Times New Roman" w:cs="Arial"/>
          <w:i w:val="false"/>
          <w:iCs w:val="false"/>
          <w:color w:val="auto"/>
          <w:sz w:val="20"/>
          <w:szCs w:val="20"/>
        </w:rPr>
        <w:t>Quando houver o cancel</w:t>
      </w:r>
      <w:r>
        <w:rPr/>
        <w:t xml:space="preserve">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\h </w:instrText>
      </w:r>
      <w:r>
        <w:rPr/>
        <w:fldChar w:fldCharType="separate"/>
      </w:r>
      <w:r>
        <w:rPr/>
        <w:t>10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Quando o convocado não assinar a ata de registro de preços no prazo e nas condições estabelecidos no edital ou no aviso de contratação, e observado o disposto no item,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>mado e sua eventual atualização nos termos d</w:t>
      </w:r>
      <w:r>
        <w:rPr>
          <w:color w:val="111111"/>
        </w:rPr>
        <w:t xml:space="preserve">o </w:t>
      </w:r>
      <w:r>
        <w:rPr>
          <w:i/>
          <w:color w:val="111111"/>
        </w:rPr>
        <w:t>edital</w:t>
      </w:r>
      <w:r>
        <w:rPr>
          <w:color w:val="111111"/>
        </w:rPr>
        <w:t>,</w:t>
      </w:r>
      <w:r>
        <w:rPr/>
        <w:t xml:space="preserve"> poderá: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E</w:t>
      </w:r>
      <w:commentRangeStart w:id="7"/>
      <w:r>
        <w:rPr/>
        <w:t>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</w:t>
      </w:r>
      <w:r>
        <w:rPr/>
      </w:r>
      <w:commentRangeEnd w:id="7"/>
      <w:r>
        <w:commentReference w:id="7"/>
      </w:r>
      <w:r>
        <w:rPr>
          <w:color w:val="0000EF"/>
        </w:rPr>
        <w:t>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8"/>
      <w:r>
        <w:rPr/>
        <w:t>s licitantes ou fornecedores que tiveram seu registro cancelado.</w:t>
      </w:r>
      <w:r>
        <w:rPr/>
      </w:r>
      <w:commentRangeEnd w:id="8"/>
      <w:r>
        <w:commentReference w:id="8"/>
      </w:r>
      <w:r>
        <w:rPr/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10.1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\h </w:instrText>
      </w:r>
      <w:r>
        <w:rPr/>
        <w:fldChar w:fldCharType="separate"/>
      </w:r>
      <w:r>
        <w:rPr/>
        <w:t>10.4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\h </w:instrText>
      </w:r>
      <w:r>
        <w:rPr/>
        <w:fldChar w:fldCharType="separate"/>
      </w:r>
      <w:r>
        <w:rPr/>
        <w:t>8.2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\h </w:instrText>
      </w:r>
      <w:r>
        <w:rPr/>
        <w:fldChar w:fldCharType="separate"/>
      </w:r>
      <w:r>
        <w:rPr/>
        <w:t>8.2.1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/>
      </w:pPr>
      <w:commentRangeStart w:id="9"/>
      <w:r>
        <w:rPr/>
        <w:t>REMANEJAMENTO DAS QUANTIDADES REGISTRADAS NA ATA DE REGISTRO DE PREÇOS</w:t>
      </w:r>
      <w:commentRangeEnd w:id="9"/>
      <w:r>
        <w:commentReference w:id="9"/>
      </w:r>
      <w:r>
        <w:rPr/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 xml:space="preserve">cipante para órgão ou entidade não participante, serão observados os limites previstos no </w:t>
      </w:r>
      <w:commentRangeStart w:id="10"/>
      <w:r>
        <w:rPr/>
        <w:t>art. 32 do Decreto nº 11.462, de 2023</w:t>
      </w:r>
      <w:r>
        <w:rPr/>
      </w:r>
      <w:commentRangeEnd w:id="10"/>
      <w:r>
        <w:commentReference w:id="10"/>
      </w:r>
      <w:r>
        <w:rPr/>
        <w:t>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\h </w:instrText>
      </w:r>
      <w:r>
        <w:rPr/>
        <w:fldChar w:fldCharType="separate"/>
      </w:r>
      <w:r>
        <w:rPr/>
        <w:t>9.3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10.1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 xml:space="preserve">O descumprimento da Ata de Registro de Preços ensejará aplicação das penalidades estabelecidas </w:t>
      </w:r>
      <w:r>
        <w:rPr>
          <w:iCs/>
        </w:rPr>
        <w:t>no</w:t>
      </w:r>
      <w:r>
        <w:rPr>
          <w:i/>
        </w:rPr>
        <w:t xml:space="preserve"> </w:t>
      </w:r>
      <w:r>
        <w:rPr>
          <w:i/>
          <w:color w:val="FF0000"/>
        </w:rPr>
        <w:t>[edital] OU [aviso de contratação direta]</w:t>
      </w:r>
      <w:r>
        <w:rPr/>
        <w:t>.</w:t>
      </w:r>
    </w:p>
    <w:p>
      <w:pPr>
        <w:pStyle w:val="Nvel3"/>
        <w:numPr>
          <w:ilvl w:val="2"/>
          <w:numId w:val="1"/>
        </w:numPr>
        <w:ind w:hanging="0" w:left="284"/>
        <w:rPr/>
      </w:pPr>
      <w:r>
        <w:rPr/>
        <w:t xml:space="preserve">As sanções também se aplicam aos integrantes do cadastro de reserva no registro de preços que, convocados, não honrarem o compromisso assumido </w:t>
      </w:r>
      <w:commentRangeStart w:id="11"/>
      <w:r>
        <w:rPr/>
        <w:t>injustificadamente</w:t>
      </w:r>
      <w:r>
        <w:rPr/>
      </w:r>
      <w:commentRangeEnd w:id="11"/>
      <w:r>
        <w:commentReference w:id="11"/>
      </w:r>
      <w:r>
        <w:rPr/>
        <w:t xml:space="preserve"> após terem assinado a ata. 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a aplicação da penalidade (art. 8º,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hanging="0" w:left="0"/>
        <w:rPr/>
      </w:pPr>
      <w:r>
        <w:rPr/>
        <w:t>As condições gerais de execução do objeto, tais como os prazos para entrega e recebimento, as obrigações da Administração e do fornecedor registrado, penalidades e demais condições do ajuste, encontram-se definidos no Termo de Referência, anexo ao</w:t>
      </w:r>
      <w:r>
        <w:rPr>
          <w:i/>
        </w:rPr>
        <w:t xml:space="preserve"> </w:t>
      </w:r>
      <w:r>
        <w:rPr>
          <w:i/>
          <w:color w:val="FF0000"/>
        </w:rPr>
        <w:t>[edital] OU [aviso de contratação direta]</w:t>
      </w:r>
      <w:r>
        <w:rPr/>
        <w:t>.</w:t>
      </w:r>
    </w:p>
    <w:p>
      <w:pPr>
        <w:pStyle w:val="Nvel2-Red"/>
        <w:numPr>
          <w:ilvl w:val="1"/>
          <w:numId w:val="1"/>
        </w:numPr>
        <w:ind w:hanging="0" w:left="0"/>
        <w:rPr/>
      </w:pPr>
      <w:r>
        <w:rPr/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Para firmeza e validade do pactuado, a presente Ata foi lavrada em </w:t>
      </w:r>
      <w:r>
        <w:rPr>
          <w:rFonts w:cs="Arial" w:ascii="Arial" w:hAnsi="Arial"/>
          <w:color w:val="FF0000"/>
          <w:sz w:val="20"/>
          <w:szCs w:val="20"/>
        </w:rPr>
        <w:t xml:space="preserve">....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FF0000"/>
          <w:sz w:val="20"/>
          <w:szCs w:val="20"/>
        </w:rPr>
        <w:t>....</w:t>
      </w:r>
      <w:r>
        <w:rPr>
          <w:rFonts w:cs="Arial" w:ascii="Arial" w:hAnsi="Arial"/>
          <w:sz w:val="20"/>
          <w:szCs w:val="20"/>
        </w:rPr>
        <w:t xml:space="preserve">) vias de igual teor, que, depois de lida e achada em ordem, vai assinada pelas partes 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  <w:r>
        <w:br w:type="page"/>
      </w:r>
    </w:p>
    <w:p>
      <w:pPr>
        <w:pStyle w:val="Normal"/>
        <w:widowControl w:val="false"/>
        <w:spacing w:lineRule="auto" w:line="360" w:before="0" w:after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12"/>
      <w:r>
        <w:rPr>
          <w:rFonts w:cs="Arial" w:ascii="Arial" w:hAnsi="Arial"/>
          <w:color w:val="000000"/>
          <w:sz w:val="20"/>
          <w:szCs w:val="20"/>
        </w:rPr>
        <w:t>Anexo</w:t>
      </w:r>
      <w:commentRangeEnd w:id="12"/>
      <w:r>
        <w:commentReference w:id="12"/>
      </w: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22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4"/>
        <w:gridCol w:w="1255"/>
        <w:gridCol w:w="1539"/>
        <w:gridCol w:w="1124"/>
        <w:gridCol w:w="1118"/>
        <w:gridCol w:w="844"/>
        <w:gridCol w:w="838"/>
        <w:gridCol w:w="845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Marca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22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4"/>
        <w:gridCol w:w="1255"/>
        <w:gridCol w:w="1539"/>
        <w:gridCol w:w="1124"/>
        <w:gridCol w:w="1118"/>
        <w:gridCol w:w="844"/>
        <w:gridCol w:w="838"/>
        <w:gridCol w:w="845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Marca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701" w:right="1134" w:gutter="0" w:header="708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color w:themeColor="text1" w:val="000000"/>
          <w:lang w:val="en-US" w:eastAsia="en-US" w:bidi="en-US"/>
        </w:rPr>
        <w:t>Nota Explicativa:</w:t>
      </w:r>
      <w:r>
        <w:rPr>
          <w:rFonts w:ascii="Liberation Serif" w:hAnsi="Liberation Serif" w:eastAsia="Segoe UI"/>
          <w:color w:themeColor="text1" w:val="000000"/>
          <w:lang w:val="en-US" w:eastAsia="en-US" w:bidi="en-US"/>
        </w:rPr>
        <w:t xml:space="preserve"> </w:t>
      </w:r>
      <w:r>
        <w:rPr>
          <w:rFonts w:ascii="Liberation Serif" w:hAnsi="Liberation Serif" w:eastAsia="Segoe UI"/>
          <w:i/>
          <w:iCs/>
          <w:color w:themeColor="text1"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ascii="Liberation Serif" w:hAnsi="Liberation Serif" w:eastAsia="Segoe UI"/>
          <w:color w:themeColor="text1" w:val="000000"/>
          <w:lang w:val="en-US" w:eastAsia="en-US" w:bidi="en-US"/>
        </w:rPr>
        <w:t>. (§ 4º, art. 18 do Decreto Nº11.462, de 2023.)</w:t>
      </w:r>
    </w:p>
  </w:comment>
  <w:comment w:id="1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ascii="Liberation Serif" w:hAnsi="Liberation Serif" w:eastAsia="Segoe UI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hAnsi="Liberation Serif" w:eastAsia="Segoe UI"/>
          <w:lang w:val="en-US" w:eastAsia="en-US" w:bidi="en-US"/>
        </w:rPr>
        <w:t>, apenas nas seguintes situações: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 - quando for a primeira licitação para o objeto e o órgão ou entidade não tiver registro de demandas anteriores;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 - no caso de alimento perecível;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III - no caso em que o serviço estiver integrado ao fornecimento de bens.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O artigo 4º do Decreto 11.462, de 31/3/2023, possui a mesma redação da lei.</w:t>
      </w:r>
    </w:p>
  </w:comment>
  <w:comment w:id="2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color w:themeColor="text1" w:val="000000"/>
          <w:lang w:val="en-US" w:eastAsia="en-US" w:bidi="en-US"/>
        </w:rPr>
        <w:t>Nota Explicativa</w:t>
      </w:r>
      <w:r>
        <w:rPr>
          <w:rFonts w:ascii="Liberation Serif" w:hAnsi="Liberation Serif" w:eastAsia="Segoe UI"/>
          <w:color w:themeColor="text1"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6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bCs/>
          <w:i/>
          <w:iCs/>
          <w:lang w:val="en-US" w:eastAsia="en-US" w:bidi="en-US"/>
        </w:rPr>
        <w:t xml:space="preserve">Nota explicativa: </w:t>
      </w:r>
      <w:r>
        <w:rPr>
          <w:rFonts w:ascii="Liberation Serif" w:hAnsi="Liberation Serif" w:eastAsia="Segoe UI"/>
          <w:lang w:val="en-US" w:eastAsia="en-US" w:bidi="en-US"/>
        </w:rP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7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8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9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A possibilidade de remanejamento está prevista no art. 30 do Decreto nº 11.462/2023</w:t>
      </w:r>
    </w:p>
  </w:comment>
  <w:comment w:id="10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Art. 32. 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 Serão observadas as seguintes regras de controle para a adesão à ata de registro de preços de que trata o art. 31:</w:t>
      </w:r>
    </w:p>
    <w:p>
      <w:pPr>
        <w:overflowPunct w:val="false"/>
        <w:rPr/>
      </w:pPr>
      <w:r>
        <w:rPr>
          <w:rFonts w:ascii="Liberation Serif" w:hAnsi="Liberation Serif" w:eastAsia="Segoe UI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pPr>
        <w:overflowPunct w:val="false"/>
        <w:rPr/>
      </w:pPr>
      <w:r>
        <w:rPr>
          <w:rFonts w:ascii="Liberation Serif" w:hAnsi="Liberation Serif" w:eastAsia="Segoe UI"/>
          <w:color w:val="000000"/>
          <w:lang w:val="en-US" w:eastAsia="en-US" w:bidi="en-US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1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 xml:space="preserve">Nota Explicativa: </w:t>
      </w:r>
      <w:r>
        <w:rPr>
          <w:rFonts w:ascii="Liberation Serif" w:hAnsi="Liberation Serif" w:eastAsia="Segoe UI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2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Footer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Footer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ABR/2025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Footer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 xml:space="preserve"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Footer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ABR/2025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sz w:val="20"/>
        <w:szCs w:val="20"/>
        <w:color w:val="11111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>
        <w:color w:val="11111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Strong">
    <w:name w:val="Strong"/>
    <w:qFormat/>
    <w:rPr>
      <w:b/>
      <w:bCs/>
    </w:rPr>
  </w:style>
  <w:style w:type="character" w:styleId="Fontepargpadro2">
    <w:name w:val="Fonte parág. padrão2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lef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comments" Target="comment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LibreOffice/7.6.4.1$Windows_X86_64 LibreOffice_project/e19e193f88cd6c0525a17fb7a176ed8e6a3e2aa1</Application>
  <AppVersion>15.0000</AppVersion>
  <Pages>8</Pages>
  <Words>3041</Words>
  <Characters>16787</Characters>
  <CharactersWithSpaces>19607</CharactersWithSpaces>
  <Paragraphs>161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2025-03-21T11:23:00Z</dcterms:created>
  <dc:creator/>
  <dc:description/>
  <dc:language>pt-BR</dc:language>
  <cp:lastModifiedBy/>
  <dcterms:modified xsi:type="dcterms:W3CDTF">2026-06-03T14:56:19Z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